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4E4A8" w14:textId="2247A753" w:rsidR="0093041B" w:rsidRPr="00AF240C" w:rsidRDefault="001F7A75" w:rsidP="00934F3F">
      <w:pPr>
        <w:spacing w:after="0"/>
        <w:ind w:left="-284" w:right="-448"/>
        <w:rPr>
          <w:sz w:val="28"/>
          <w:szCs w:val="28"/>
          <w:u w:val="single"/>
        </w:rPr>
      </w:pPr>
      <w:r w:rsidRPr="00AF240C">
        <w:rPr>
          <w:b/>
          <w:sz w:val="28"/>
          <w:szCs w:val="28"/>
          <w:u w:val="single"/>
        </w:rPr>
        <w:t>Extension of Term / Renewal</w:t>
      </w:r>
      <w:r w:rsidR="00DF4473" w:rsidRPr="00AF240C">
        <w:rPr>
          <w:b/>
          <w:sz w:val="28"/>
          <w:szCs w:val="28"/>
          <w:u w:val="single"/>
        </w:rPr>
        <w:t xml:space="preserve"> </w:t>
      </w:r>
      <w:r w:rsidR="00F90B4D" w:rsidRPr="00AF240C">
        <w:rPr>
          <w:b/>
          <w:sz w:val="28"/>
          <w:szCs w:val="28"/>
          <w:u w:val="single"/>
        </w:rPr>
        <w:t>(</w:t>
      </w:r>
      <w:r w:rsidR="00D64B5A" w:rsidRPr="00AF240C">
        <w:rPr>
          <w:b/>
          <w:sz w:val="28"/>
          <w:szCs w:val="28"/>
          <w:u w:val="single"/>
        </w:rPr>
        <w:t>PNG</w:t>
      </w:r>
      <w:r w:rsidR="00F90B4D" w:rsidRPr="00AF240C">
        <w:rPr>
          <w:b/>
          <w:sz w:val="28"/>
          <w:szCs w:val="28"/>
          <w:u w:val="single"/>
        </w:rPr>
        <w:t>)</w:t>
      </w:r>
      <w:r w:rsidR="0093041B" w:rsidRPr="00AF240C">
        <w:rPr>
          <w:b/>
          <w:sz w:val="28"/>
          <w:szCs w:val="28"/>
          <w:u w:val="single"/>
        </w:rPr>
        <w:t xml:space="preserve"> Action Definition</w:t>
      </w:r>
    </w:p>
    <w:p w14:paraId="2FE4EF07" w14:textId="5B8BC457" w:rsidR="00934F3F" w:rsidRPr="00AF240C" w:rsidRDefault="00934F3F" w:rsidP="00934F3F">
      <w:pPr>
        <w:spacing w:after="120"/>
        <w:ind w:left="-284" w:right="-448"/>
        <w:rPr>
          <w:sz w:val="24"/>
          <w:szCs w:val="24"/>
        </w:rPr>
      </w:pPr>
      <w:r w:rsidRPr="00AF240C">
        <w:rPr>
          <w:sz w:val="24"/>
          <w:szCs w:val="24"/>
        </w:rPr>
        <w:t xml:space="preserve">This action definition describes </w:t>
      </w:r>
      <w:r w:rsidR="00C44856" w:rsidRPr="00AF240C">
        <w:rPr>
          <w:sz w:val="24"/>
          <w:szCs w:val="24"/>
        </w:rPr>
        <w:t>a</w:t>
      </w:r>
      <w:r w:rsidR="0075586B">
        <w:rPr>
          <w:sz w:val="24"/>
          <w:szCs w:val="24"/>
        </w:rPr>
        <w:t>n extension of term/</w:t>
      </w:r>
      <w:r w:rsidR="00C44856" w:rsidRPr="00AF240C">
        <w:rPr>
          <w:sz w:val="24"/>
          <w:szCs w:val="24"/>
        </w:rPr>
        <w:t xml:space="preserve">renewal for </w:t>
      </w:r>
      <w:r w:rsidR="00D64B5A" w:rsidRPr="00AF240C">
        <w:rPr>
          <w:sz w:val="24"/>
          <w:szCs w:val="24"/>
        </w:rPr>
        <w:t>PNG</w:t>
      </w:r>
      <w:r w:rsidR="00126D4E" w:rsidRPr="00AF240C">
        <w:rPr>
          <w:sz w:val="24"/>
          <w:szCs w:val="24"/>
        </w:rPr>
        <w:t xml:space="preserve"> Tenements</w:t>
      </w:r>
      <w:r w:rsidRPr="00AF240C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934F3F" w:rsidRPr="00AF240C" w14:paraId="61A100A6" w14:textId="77777777" w:rsidTr="00C85E2E">
        <w:tc>
          <w:tcPr>
            <w:tcW w:w="3369" w:type="dxa"/>
          </w:tcPr>
          <w:p w14:paraId="7CB2ABE4" w14:textId="77777777" w:rsidR="00934F3F" w:rsidRPr="00AF240C" w:rsidRDefault="00934F3F" w:rsidP="00C85E2E">
            <w:pPr>
              <w:rPr>
                <w:sz w:val="24"/>
                <w:szCs w:val="24"/>
              </w:rPr>
            </w:pPr>
            <w:r w:rsidRPr="00AF240C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6D794D8D" w14:textId="77777777" w:rsidR="00934F3F" w:rsidRPr="00AF240C" w:rsidRDefault="00934F3F" w:rsidP="00C85E2E">
            <w:pPr>
              <w:rPr>
                <w:sz w:val="24"/>
                <w:szCs w:val="24"/>
              </w:rPr>
            </w:pPr>
          </w:p>
        </w:tc>
      </w:tr>
    </w:tbl>
    <w:p w14:paraId="78A2C5D4" w14:textId="77777777" w:rsidR="00934F3F" w:rsidRPr="00AF240C" w:rsidRDefault="00934F3F" w:rsidP="00934F3F">
      <w:pPr>
        <w:spacing w:after="0"/>
        <w:ind w:left="-284" w:right="-166"/>
        <w:rPr>
          <w:sz w:val="24"/>
          <w:szCs w:val="24"/>
        </w:rPr>
      </w:pPr>
    </w:p>
    <w:p w14:paraId="178C5AF1" w14:textId="77777777" w:rsidR="00934F3F" w:rsidRPr="00AF240C" w:rsidRDefault="00934F3F" w:rsidP="00092044">
      <w:pPr>
        <w:spacing w:after="0"/>
        <w:ind w:left="-284" w:right="-449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417"/>
        <w:gridCol w:w="6379"/>
      </w:tblGrid>
      <w:tr w:rsidR="00B340AC" w:rsidRPr="00AF240C" w14:paraId="7DCD65B1" w14:textId="77777777" w:rsidTr="3FB92311">
        <w:tc>
          <w:tcPr>
            <w:tcW w:w="11199" w:type="dxa"/>
            <w:gridSpan w:val="3"/>
            <w:shd w:val="clear" w:color="auto" w:fill="auto"/>
          </w:tcPr>
          <w:p w14:paraId="7E898C04" w14:textId="77777777" w:rsidR="00B340AC" w:rsidRPr="00AF240C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AF240C">
              <w:rPr>
                <w:b/>
                <w:sz w:val="24"/>
                <w:szCs w:val="24"/>
              </w:rPr>
              <w:t xml:space="preserve">Action </w:t>
            </w:r>
            <w:r w:rsidR="00C30241" w:rsidRPr="00AF240C">
              <w:rPr>
                <w:b/>
                <w:sz w:val="24"/>
                <w:szCs w:val="24"/>
              </w:rPr>
              <w:t>Trigger</w:t>
            </w:r>
          </w:p>
        </w:tc>
      </w:tr>
      <w:tr w:rsidR="00237883" w:rsidRPr="00AF240C" w14:paraId="46A4C058" w14:textId="77777777" w:rsidTr="3FB92311">
        <w:tc>
          <w:tcPr>
            <w:tcW w:w="3403" w:type="dxa"/>
          </w:tcPr>
          <w:p w14:paraId="4BC33B66" w14:textId="77777777" w:rsidR="00237883" w:rsidRPr="00AF240C" w:rsidRDefault="00115EB4" w:rsidP="00865499">
            <w:pPr>
              <w:jc w:val="right"/>
              <w:rPr>
                <w:b/>
                <w:sz w:val="24"/>
                <w:szCs w:val="24"/>
              </w:rPr>
            </w:pPr>
            <w:r w:rsidRPr="00AF240C">
              <w:rPr>
                <w:b/>
                <w:sz w:val="24"/>
                <w:szCs w:val="24"/>
              </w:rPr>
              <w:t>Asset</w:t>
            </w:r>
            <w:r w:rsidR="00237883" w:rsidRPr="00AF240C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1BCA9AE3" w14:textId="77777777" w:rsidR="00237883" w:rsidRPr="00AF240C" w:rsidRDefault="00237883" w:rsidP="00934F3F">
            <w:pPr>
              <w:rPr>
                <w:sz w:val="24"/>
                <w:szCs w:val="24"/>
              </w:rPr>
            </w:pPr>
            <w:r w:rsidRPr="00AF240C">
              <w:rPr>
                <w:sz w:val="24"/>
                <w:szCs w:val="24"/>
              </w:rPr>
              <w:t>Tenement</w:t>
            </w:r>
          </w:p>
        </w:tc>
      </w:tr>
      <w:tr w:rsidR="00231448" w:rsidRPr="00AF240C" w14:paraId="13ED81F0" w14:textId="77777777" w:rsidTr="3FB92311">
        <w:tc>
          <w:tcPr>
            <w:tcW w:w="3403" w:type="dxa"/>
          </w:tcPr>
          <w:p w14:paraId="3973CD8E" w14:textId="77777777" w:rsidR="00231448" w:rsidRPr="00AF240C" w:rsidRDefault="00231448" w:rsidP="00865499">
            <w:pPr>
              <w:jc w:val="right"/>
              <w:rPr>
                <w:b/>
                <w:sz w:val="24"/>
                <w:szCs w:val="24"/>
              </w:rPr>
            </w:pPr>
            <w:r w:rsidRPr="00AF240C">
              <w:rPr>
                <w:b/>
                <w:sz w:val="24"/>
                <w:szCs w:val="24"/>
              </w:rPr>
              <w:t xml:space="preserve">Action </w:t>
            </w:r>
            <w:r w:rsidR="00865499" w:rsidRPr="00AF240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2AA19568" w14:textId="186BAEAC" w:rsidR="00231448" w:rsidRPr="00AF240C" w:rsidRDefault="0075586B" w:rsidP="00934F3F">
            <w:pPr>
              <w:rPr>
                <w:rFonts w:ascii="Calibri" w:hAnsi="Calibri" w:cs="Calibri"/>
                <w:color w:val="000000"/>
              </w:rPr>
            </w:pPr>
            <w:r w:rsidRPr="00693C45">
              <w:rPr>
                <w:rFonts w:ascii="Calibri" w:hAnsi="Calibri" w:cs="Calibri"/>
                <w:color w:val="000000"/>
              </w:rPr>
              <w:t xml:space="preserve">Extension of Term / </w:t>
            </w:r>
            <w:r w:rsidR="00E8771C">
              <w:rPr>
                <w:rFonts w:ascii="Calibri" w:hAnsi="Calibri" w:cs="Calibri"/>
                <w:color w:val="000000"/>
              </w:rPr>
              <w:t>Renewal</w:t>
            </w:r>
          </w:p>
        </w:tc>
      </w:tr>
      <w:tr w:rsidR="00B340AC" w:rsidRPr="00AF240C" w14:paraId="736CDEF6" w14:textId="77777777" w:rsidTr="3FB92311">
        <w:tc>
          <w:tcPr>
            <w:tcW w:w="3403" w:type="dxa"/>
          </w:tcPr>
          <w:p w14:paraId="199E8EC9" w14:textId="77777777" w:rsidR="00B340AC" w:rsidRPr="00AF240C" w:rsidRDefault="00B340AC" w:rsidP="00E91B3F">
            <w:pPr>
              <w:jc w:val="right"/>
              <w:rPr>
                <w:sz w:val="24"/>
                <w:szCs w:val="24"/>
              </w:rPr>
            </w:pPr>
            <w:r w:rsidRPr="00AF240C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72D86A24" w14:textId="77777777" w:rsidR="00B97E78" w:rsidRPr="00AF240C" w:rsidRDefault="00334530" w:rsidP="00DF4473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AF240C">
              <w:rPr>
                <w:sz w:val="24"/>
                <w:szCs w:val="24"/>
              </w:rPr>
              <w:t>{</w:t>
            </w:r>
            <w:r w:rsidR="00184F05" w:rsidRPr="00AF240C">
              <w:rPr>
                <w:sz w:val="24"/>
                <w:szCs w:val="24"/>
              </w:rPr>
              <w:t>s</w:t>
            </w:r>
            <w:r w:rsidR="00B340AC" w:rsidRPr="00AF240C">
              <w:rPr>
                <w:sz w:val="24"/>
                <w:szCs w:val="24"/>
              </w:rPr>
              <w:t>tatus</w:t>
            </w:r>
            <w:r w:rsidRPr="00AF240C">
              <w:rPr>
                <w:sz w:val="24"/>
                <w:szCs w:val="24"/>
              </w:rPr>
              <w:t>}</w:t>
            </w:r>
            <w:r w:rsidR="00B340AC" w:rsidRPr="00AF240C">
              <w:rPr>
                <w:sz w:val="24"/>
                <w:szCs w:val="24"/>
              </w:rPr>
              <w:t xml:space="preserve"> = Live</w:t>
            </w:r>
          </w:p>
        </w:tc>
      </w:tr>
      <w:tr w:rsidR="00A301CB" w:rsidRPr="00AF240C" w14:paraId="3E42195F" w14:textId="77777777" w:rsidTr="3FB92311">
        <w:tc>
          <w:tcPr>
            <w:tcW w:w="3403" w:type="dxa"/>
          </w:tcPr>
          <w:p w14:paraId="32B2752F" w14:textId="77777777" w:rsidR="00A301CB" w:rsidRPr="00AF240C" w:rsidRDefault="00A301CB" w:rsidP="00DC3A6E">
            <w:pPr>
              <w:jc w:val="right"/>
              <w:rPr>
                <w:b/>
                <w:sz w:val="24"/>
                <w:szCs w:val="24"/>
              </w:rPr>
            </w:pPr>
            <w:r w:rsidRPr="00AF240C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346629F" w14:textId="77777777" w:rsidR="00A301CB" w:rsidRPr="00AF240C" w:rsidRDefault="00A301CB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AF240C">
              <w:rPr>
                <w:sz w:val="24"/>
                <w:szCs w:val="24"/>
              </w:rPr>
              <w:t>Managed</w:t>
            </w:r>
          </w:p>
        </w:tc>
      </w:tr>
      <w:tr w:rsidR="00472D15" w:rsidRPr="00AF240C" w14:paraId="781D2B5F" w14:textId="77777777" w:rsidTr="3FB92311">
        <w:tc>
          <w:tcPr>
            <w:tcW w:w="3403" w:type="dxa"/>
          </w:tcPr>
          <w:p w14:paraId="5E8B1CEC" w14:textId="0DABFCFF" w:rsidR="00472D15" w:rsidRPr="00AF240C" w:rsidRDefault="00472D15" w:rsidP="00472D15">
            <w:pPr>
              <w:jc w:val="right"/>
              <w:rPr>
                <w:b/>
                <w:sz w:val="24"/>
                <w:szCs w:val="24"/>
              </w:rPr>
            </w:pPr>
            <w:r w:rsidRPr="00AF240C">
              <w:rPr>
                <w:b/>
                <w:sz w:val="24"/>
                <w:szCs w:val="24"/>
              </w:rPr>
              <w:t>Unique Name Format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19E16CF1" w14:textId="2FAD49B5" w:rsidR="00472D15" w:rsidRPr="00AF240C" w:rsidRDefault="00F76692" w:rsidP="00472D15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AF240C">
              <w:rPr>
                <w:sz w:val="24"/>
                <w:szCs w:val="24"/>
              </w:rPr>
              <w:t>Renewal</w:t>
            </w:r>
            <w:r w:rsidR="00472D15" w:rsidRPr="00AF240C">
              <w:rPr>
                <w:sz w:val="24"/>
                <w:szCs w:val="24"/>
              </w:rPr>
              <w:t>-{expiryDate:yyyy}</w:t>
            </w:r>
          </w:p>
        </w:tc>
      </w:tr>
      <w:tr w:rsidR="00377741" w:rsidRPr="00AF240C" w14:paraId="20FC4BA4" w14:textId="77777777" w:rsidTr="3FB92311">
        <w:tc>
          <w:tcPr>
            <w:tcW w:w="3403" w:type="dxa"/>
          </w:tcPr>
          <w:p w14:paraId="7C9DD2D3" w14:textId="09EE8708" w:rsidR="00377741" w:rsidRPr="00AF240C" w:rsidRDefault="00377741" w:rsidP="00472D15">
            <w:pPr>
              <w:jc w:val="right"/>
              <w:rPr>
                <w:b/>
                <w:sz w:val="24"/>
                <w:szCs w:val="24"/>
              </w:rPr>
            </w:pPr>
            <w:r w:rsidRPr="00AF240C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4DADD61F" w14:textId="18A67485" w:rsidR="00377741" w:rsidRPr="00AF240C" w:rsidRDefault="3FB92311" w:rsidP="3FB92311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AF240C">
              <w:rPr>
                <w:sz w:val="24"/>
                <w:szCs w:val="24"/>
              </w:rPr>
              <w:t>= {Expiry} – 90 days</w:t>
            </w:r>
          </w:p>
        </w:tc>
      </w:tr>
      <w:tr w:rsidR="00A63FA3" w:rsidRPr="00AF240C" w14:paraId="1449A331" w14:textId="77777777" w:rsidTr="3FB92311">
        <w:tc>
          <w:tcPr>
            <w:tcW w:w="3403" w:type="dxa"/>
          </w:tcPr>
          <w:p w14:paraId="08D4206B" w14:textId="77777777" w:rsidR="00A63FA3" w:rsidRPr="00AF240C" w:rsidRDefault="00A63FA3" w:rsidP="00D25651">
            <w:pPr>
              <w:jc w:val="right"/>
              <w:rPr>
                <w:b/>
                <w:sz w:val="24"/>
                <w:szCs w:val="24"/>
              </w:rPr>
            </w:pPr>
            <w:r w:rsidRPr="00AF240C"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4CEC5740" w14:textId="77777777" w:rsidR="00A63FA3" w:rsidRPr="00AF240C" w:rsidRDefault="00A63FA3" w:rsidP="00934F3F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AF240C">
              <w:rPr>
                <w:sz w:val="24"/>
                <w:szCs w:val="24"/>
              </w:rPr>
              <w:t xml:space="preserve">Expiry 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14:paraId="21DC1CCD" w14:textId="580EA6BD" w:rsidR="00A63FA3" w:rsidRPr="00AF240C" w:rsidRDefault="00A63FA3" w:rsidP="00934F3F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AF240C">
              <w:rPr>
                <w:sz w:val="24"/>
                <w:szCs w:val="24"/>
              </w:rPr>
              <w:t xml:space="preserve">= </w:t>
            </w:r>
            <w:r w:rsidR="00334530" w:rsidRPr="00AF240C">
              <w:rPr>
                <w:sz w:val="24"/>
                <w:szCs w:val="24"/>
              </w:rPr>
              <w:t>{</w:t>
            </w:r>
            <w:r w:rsidR="008267DF" w:rsidRPr="00AF240C">
              <w:rPr>
                <w:sz w:val="24"/>
                <w:szCs w:val="24"/>
              </w:rPr>
              <w:t>expiry</w:t>
            </w:r>
            <w:r w:rsidRPr="00AF240C">
              <w:rPr>
                <w:sz w:val="24"/>
                <w:szCs w:val="24"/>
              </w:rPr>
              <w:t>Date</w:t>
            </w:r>
            <w:r w:rsidR="00724929" w:rsidRPr="00AF240C">
              <w:rPr>
                <w:sz w:val="24"/>
                <w:szCs w:val="24"/>
              </w:rPr>
              <w:t>}</w:t>
            </w:r>
            <w:r w:rsidR="00637683" w:rsidRPr="00AF240C">
              <w:rPr>
                <w:sz w:val="24"/>
                <w:szCs w:val="24"/>
              </w:rPr>
              <w:t xml:space="preserve"> + {</w:t>
            </w:r>
            <w:r w:rsidR="00F26AB9" w:rsidRPr="00AF240C">
              <w:rPr>
                <w:sz w:val="24"/>
                <w:szCs w:val="24"/>
              </w:rPr>
              <w:t>Interval</w:t>
            </w:r>
            <w:r w:rsidR="00637683" w:rsidRPr="00AF240C">
              <w:rPr>
                <w:sz w:val="24"/>
                <w:szCs w:val="24"/>
              </w:rPr>
              <w:t>}</w:t>
            </w:r>
            <w:r w:rsidR="00637683" w:rsidRPr="00AF240C">
              <w:rPr>
                <w:rStyle w:val="FootnoteReference"/>
                <w:sz w:val="24"/>
                <w:szCs w:val="24"/>
              </w:rPr>
              <w:footnoteReference w:id="1"/>
            </w:r>
          </w:p>
        </w:tc>
      </w:tr>
    </w:tbl>
    <w:p w14:paraId="6EAA526E" w14:textId="77777777" w:rsidR="007B0278" w:rsidRPr="00AF240C" w:rsidRDefault="0029668B" w:rsidP="00934F3F">
      <w:pPr>
        <w:spacing w:after="240"/>
        <w:rPr>
          <w:sz w:val="18"/>
          <w:szCs w:val="18"/>
        </w:rPr>
      </w:pPr>
      <w:r w:rsidRPr="00AF240C">
        <w:rPr>
          <w:i/>
          <w:sz w:val="18"/>
          <w:szCs w:val="18"/>
          <w:u w:val="single"/>
        </w:rPr>
        <w:t>Note</w:t>
      </w:r>
      <w:r w:rsidRPr="00AF240C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4990"/>
        <w:gridCol w:w="1701"/>
        <w:gridCol w:w="2806"/>
      </w:tblGrid>
      <w:tr w:rsidR="00DC13CC" w:rsidRPr="00AF240C" w14:paraId="25DFE626" w14:textId="77777777" w:rsidTr="00564F53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2948F0" w14:textId="77777777" w:rsidR="00DC13CC" w:rsidRPr="00AF240C" w:rsidRDefault="00DC13CC" w:rsidP="00934F3F">
            <w:pPr>
              <w:jc w:val="center"/>
              <w:rPr>
                <w:b/>
                <w:sz w:val="24"/>
                <w:szCs w:val="24"/>
              </w:rPr>
            </w:pPr>
            <w:r w:rsidRPr="00AF240C">
              <w:rPr>
                <w:b/>
                <w:sz w:val="24"/>
                <w:szCs w:val="24"/>
              </w:rPr>
              <w:t>Applies To</w:t>
            </w:r>
          </w:p>
        </w:tc>
      </w:tr>
      <w:tr w:rsidR="00AB7FEB" w:rsidRPr="00AF240C" w14:paraId="52404B19" w14:textId="644330D4" w:rsidTr="00AB7FEB">
        <w:tc>
          <w:tcPr>
            <w:tcW w:w="1702" w:type="dxa"/>
            <w:shd w:val="clear" w:color="auto" w:fill="D9D9D9" w:themeFill="background1" w:themeFillShade="D9"/>
          </w:tcPr>
          <w:p w14:paraId="198CF3CF" w14:textId="77777777" w:rsidR="00AB7FEB" w:rsidRPr="00AF240C" w:rsidRDefault="00AB7FEB" w:rsidP="00934F3F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bookmarkStart w:id="0" w:name="_Hlk429579419"/>
            <w:r w:rsidRPr="00AF240C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4990" w:type="dxa"/>
            <w:shd w:val="clear" w:color="auto" w:fill="D9D9D9" w:themeFill="background1" w:themeFillShade="D9"/>
          </w:tcPr>
          <w:p w14:paraId="4F7201EC" w14:textId="77777777" w:rsidR="00AB7FEB" w:rsidRPr="00AF240C" w:rsidRDefault="00AB7FEB" w:rsidP="00934F3F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AF240C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53DE328" w14:textId="003BAC4E" w:rsidR="00AB7FEB" w:rsidRPr="00AF240C" w:rsidRDefault="00AB7FEB" w:rsidP="003C5B4C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AF240C">
              <w:rPr>
                <w:rFonts w:asciiTheme="minorHAnsi" w:hAnsiTheme="minorHAnsi"/>
                <w:b/>
                <w:szCs w:val="24"/>
              </w:rPr>
              <w:t>Version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14:paraId="00B513BB" w14:textId="6662C2AA" w:rsidR="00AB7FEB" w:rsidRPr="00AF240C" w:rsidRDefault="00AB7FEB" w:rsidP="00AB7FE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Interval</w:t>
            </w:r>
          </w:p>
        </w:tc>
      </w:tr>
      <w:bookmarkEnd w:id="0"/>
      <w:tr w:rsidR="00AB7FEB" w:rsidRPr="00AF240C" w14:paraId="7D542FB7" w14:textId="79CF8FAE" w:rsidTr="00AB7FEB">
        <w:tc>
          <w:tcPr>
            <w:tcW w:w="1702" w:type="dxa"/>
            <w:shd w:val="clear" w:color="auto" w:fill="D6E3BC" w:themeFill="accent3" w:themeFillTint="66"/>
          </w:tcPr>
          <w:p w14:paraId="078DE88F" w14:textId="37FC1CD2" w:rsidR="00AB7FEB" w:rsidRPr="00AF240C" w:rsidRDefault="00AB7FEB" w:rsidP="00517782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AF240C">
              <w:rPr>
                <w:rFonts w:asciiTheme="minorHAnsi" w:hAnsiTheme="minorHAnsi"/>
                <w:szCs w:val="24"/>
              </w:rPr>
              <w:t>PNG</w:t>
            </w:r>
          </w:p>
        </w:tc>
        <w:tc>
          <w:tcPr>
            <w:tcW w:w="4990" w:type="dxa"/>
            <w:shd w:val="clear" w:color="auto" w:fill="D6E3BC" w:themeFill="accent3" w:themeFillTint="66"/>
          </w:tcPr>
          <w:p w14:paraId="6A1F6DB2" w14:textId="0FB2A641" w:rsidR="00AB7FEB" w:rsidRPr="00AF240C" w:rsidRDefault="00AB7FEB" w:rsidP="00517782">
            <w:pPr>
              <w:pStyle w:val="TextFieldStyle"/>
              <w:rPr>
                <w:szCs w:val="24"/>
              </w:rPr>
            </w:pPr>
            <w:r w:rsidRPr="00AF240C">
              <w:rPr>
                <w:szCs w:val="24"/>
              </w:rPr>
              <w:t>Exploration Licence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2FFC4E4A" w14:textId="79F9E980" w:rsidR="00AB7FEB" w:rsidRPr="00AF240C" w:rsidRDefault="00AB7FEB" w:rsidP="00517782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D6E3BC" w:themeFill="accent3" w:themeFillTint="66"/>
          </w:tcPr>
          <w:p w14:paraId="2AC7F87A" w14:textId="0C135A78" w:rsidR="00AB7FEB" w:rsidRPr="00AF240C" w:rsidRDefault="00AB7FEB" w:rsidP="00517782">
            <w:pPr>
              <w:rPr>
                <w:sz w:val="24"/>
                <w:szCs w:val="24"/>
              </w:rPr>
            </w:pPr>
            <w:r w:rsidRPr="00AF240C">
              <w:rPr>
                <w:sz w:val="24"/>
                <w:szCs w:val="24"/>
              </w:rPr>
              <w:t>0 years, every 2 years</w:t>
            </w:r>
          </w:p>
        </w:tc>
      </w:tr>
      <w:tr w:rsidR="00AB7FEB" w:rsidRPr="00AF240C" w14:paraId="4B444BCF" w14:textId="77777777" w:rsidTr="00AB7FEB">
        <w:tc>
          <w:tcPr>
            <w:tcW w:w="1702" w:type="dxa"/>
            <w:shd w:val="clear" w:color="auto" w:fill="D6E3BC" w:themeFill="accent3" w:themeFillTint="66"/>
          </w:tcPr>
          <w:p w14:paraId="4DD8CCB3" w14:textId="05E4984E" w:rsidR="00AB7FEB" w:rsidRPr="00AF240C" w:rsidRDefault="00AB7FEB" w:rsidP="00AB7FEB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C36C47">
              <w:rPr>
                <w:rFonts w:asciiTheme="minorHAnsi" w:hAnsiTheme="minorHAnsi"/>
                <w:szCs w:val="24"/>
              </w:rPr>
              <w:t>PNG</w:t>
            </w:r>
          </w:p>
        </w:tc>
        <w:tc>
          <w:tcPr>
            <w:tcW w:w="4990" w:type="dxa"/>
            <w:shd w:val="clear" w:color="auto" w:fill="D6E3BC" w:themeFill="accent3" w:themeFillTint="66"/>
          </w:tcPr>
          <w:p w14:paraId="1131D036" w14:textId="2DB38A0E" w:rsidR="00AB7FEB" w:rsidRPr="00AF240C" w:rsidRDefault="00AB7FEB" w:rsidP="00AB7FEB">
            <w:pPr>
              <w:pStyle w:val="TextFieldStyle"/>
              <w:rPr>
                <w:szCs w:val="24"/>
              </w:rPr>
            </w:pPr>
            <w:r w:rsidRPr="00C36C47">
              <w:rPr>
                <w:szCs w:val="24"/>
              </w:rPr>
              <w:t>Mining Lease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3F0D71A6" w14:textId="77777777" w:rsidR="00AB7FEB" w:rsidRPr="00AF240C" w:rsidRDefault="00AB7FEB" w:rsidP="00AB7FEB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D6E3BC" w:themeFill="accent3" w:themeFillTint="66"/>
          </w:tcPr>
          <w:p w14:paraId="01CDB278" w14:textId="6A35E875" w:rsidR="00AB7FEB" w:rsidRPr="00AF240C" w:rsidRDefault="00AB7FEB" w:rsidP="00AB7FEB">
            <w:pPr>
              <w:rPr>
                <w:sz w:val="24"/>
                <w:szCs w:val="24"/>
              </w:rPr>
            </w:pPr>
            <w:r w:rsidRPr="00C36C47">
              <w:rPr>
                <w:sz w:val="24"/>
                <w:szCs w:val="24"/>
              </w:rPr>
              <w:t xml:space="preserve">0 years, every </w:t>
            </w:r>
            <w:r w:rsidR="006B7D3A">
              <w:rPr>
                <w:sz w:val="24"/>
                <w:szCs w:val="24"/>
              </w:rPr>
              <w:t>1</w:t>
            </w:r>
            <w:r w:rsidRPr="00C36C47">
              <w:rPr>
                <w:sz w:val="24"/>
                <w:szCs w:val="24"/>
              </w:rPr>
              <w:t>0 years</w:t>
            </w:r>
          </w:p>
        </w:tc>
      </w:tr>
      <w:tr w:rsidR="00AB7FEB" w:rsidRPr="00AF240C" w14:paraId="70470798" w14:textId="77777777" w:rsidTr="00AB7FEB">
        <w:tc>
          <w:tcPr>
            <w:tcW w:w="1702" w:type="dxa"/>
            <w:shd w:val="clear" w:color="auto" w:fill="D6E3BC" w:themeFill="accent3" w:themeFillTint="66"/>
          </w:tcPr>
          <w:p w14:paraId="3F1D4E38" w14:textId="0AE26B1A" w:rsidR="00AB7FEB" w:rsidRPr="00AF240C" w:rsidRDefault="00AB7FEB" w:rsidP="00AB7FEB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C36C47">
              <w:rPr>
                <w:rFonts w:asciiTheme="minorHAnsi" w:hAnsiTheme="minorHAnsi"/>
                <w:szCs w:val="24"/>
              </w:rPr>
              <w:t>PNG</w:t>
            </w:r>
          </w:p>
        </w:tc>
        <w:tc>
          <w:tcPr>
            <w:tcW w:w="4990" w:type="dxa"/>
            <w:shd w:val="clear" w:color="auto" w:fill="D6E3BC" w:themeFill="accent3" w:themeFillTint="66"/>
          </w:tcPr>
          <w:p w14:paraId="624E99BA" w14:textId="2B33869C" w:rsidR="00AB7FEB" w:rsidRPr="00AF240C" w:rsidRDefault="00AB7FEB" w:rsidP="00AB7FEB">
            <w:pPr>
              <w:pStyle w:val="TextFieldStyle"/>
              <w:rPr>
                <w:szCs w:val="24"/>
              </w:rPr>
            </w:pPr>
            <w:r w:rsidRPr="00C36C47">
              <w:rPr>
                <w:szCs w:val="24"/>
              </w:rPr>
              <w:t>Special Mining Lease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7C6C572C" w14:textId="77777777" w:rsidR="00AB7FEB" w:rsidRPr="00AF240C" w:rsidRDefault="00AB7FEB" w:rsidP="00AB7FEB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D6E3BC" w:themeFill="accent3" w:themeFillTint="66"/>
          </w:tcPr>
          <w:p w14:paraId="635934AF" w14:textId="72BFD10E" w:rsidR="00AB7FEB" w:rsidRPr="00AF240C" w:rsidRDefault="00AB7FEB" w:rsidP="00AB7FEB">
            <w:pPr>
              <w:rPr>
                <w:sz w:val="24"/>
                <w:szCs w:val="24"/>
              </w:rPr>
            </w:pPr>
            <w:r w:rsidRPr="00C36C47">
              <w:rPr>
                <w:sz w:val="24"/>
                <w:szCs w:val="24"/>
              </w:rPr>
              <w:t>0 years, every 40 years</w:t>
            </w:r>
          </w:p>
        </w:tc>
      </w:tr>
      <w:tr w:rsidR="00AB7FEB" w:rsidRPr="00AF240C" w14:paraId="4162B420" w14:textId="77777777" w:rsidTr="00AB7FEB">
        <w:tc>
          <w:tcPr>
            <w:tcW w:w="1702" w:type="dxa"/>
            <w:shd w:val="clear" w:color="auto" w:fill="D6E3BC" w:themeFill="accent3" w:themeFillTint="66"/>
          </w:tcPr>
          <w:p w14:paraId="0BF4583A" w14:textId="43C403BE" w:rsidR="00AB7FEB" w:rsidRPr="00AF240C" w:rsidRDefault="00AB7FEB" w:rsidP="00AB7FEB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C36C47">
              <w:rPr>
                <w:rFonts w:asciiTheme="minorHAnsi" w:hAnsiTheme="minorHAnsi"/>
                <w:szCs w:val="24"/>
              </w:rPr>
              <w:t>PNG</w:t>
            </w:r>
          </w:p>
        </w:tc>
        <w:tc>
          <w:tcPr>
            <w:tcW w:w="4990" w:type="dxa"/>
            <w:shd w:val="clear" w:color="auto" w:fill="D6E3BC" w:themeFill="accent3" w:themeFillTint="66"/>
          </w:tcPr>
          <w:p w14:paraId="37E971E7" w14:textId="51D05B07" w:rsidR="00AB7FEB" w:rsidRPr="00AF240C" w:rsidRDefault="00AB7FEB" w:rsidP="00AB7FEB">
            <w:pPr>
              <w:pStyle w:val="TextFieldStyle"/>
              <w:rPr>
                <w:szCs w:val="24"/>
              </w:rPr>
            </w:pPr>
            <w:r w:rsidRPr="00C36C47">
              <w:rPr>
                <w:szCs w:val="24"/>
              </w:rPr>
              <w:t>Alluvial Mining Lease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11C373AD" w14:textId="77777777" w:rsidR="00AB7FEB" w:rsidRPr="00AF240C" w:rsidRDefault="00AB7FEB" w:rsidP="00AB7FEB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D6E3BC" w:themeFill="accent3" w:themeFillTint="66"/>
          </w:tcPr>
          <w:p w14:paraId="123975A3" w14:textId="5D3AC749" w:rsidR="00AB7FEB" w:rsidRPr="00AF240C" w:rsidRDefault="00AB7FEB" w:rsidP="00AB7FEB">
            <w:pPr>
              <w:rPr>
                <w:sz w:val="24"/>
                <w:szCs w:val="24"/>
              </w:rPr>
            </w:pPr>
            <w:r w:rsidRPr="00C36C47">
              <w:rPr>
                <w:sz w:val="24"/>
                <w:szCs w:val="24"/>
              </w:rPr>
              <w:t xml:space="preserve">0 years, every </w:t>
            </w:r>
            <w:r w:rsidR="00C1794A">
              <w:rPr>
                <w:sz w:val="24"/>
                <w:szCs w:val="24"/>
              </w:rPr>
              <w:t>5</w:t>
            </w:r>
            <w:r w:rsidRPr="00C36C47">
              <w:rPr>
                <w:sz w:val="24"/>
                <w:szCs w:val="24"/>
              </w:rPr>
              <w:t xml:space="preserve"> years</w:t>
            </w:r>
          </w:p>
        </w:tc>
      </w:tr>
      <w:tr w:rsidR="00AB7FEB" w:rsidRPr="00AF240C" w14:paraId="137C1955" w14:textId="77777777" w:rsidTr="00AB7FEB">
        <w:tc>
          <w:tcPr>
            <w:tcW w:w="1702" w:type="dxa"/>
            <w:shd w:val="clear" w:color="auto" w:fill="D6E3BC" w:themeFill="accent3" w:themeFillTint="66"/>
          </w:tcPr>
          <w:p w14:paraId="416E6526" w14:textId="730CEE0A" w:rsidR="00AB7FEB" w:rsidRPr="00AF240C" w:rsidRDefault="00AB7FEB" w:rsidP="00AB7FEB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C36C47">
              <w:rPr>
                <w:rFonts w:asciiTheme="minorHAnsi" w:hAnsiTheme="minorHAnsi"/>
                <w:szCs w:val="24"/>
              </w:rPr>
              <w:t>PNG</w:t>
            </w:r>
          </w:p>
        </w:tc>
        <w:tc>
          <w:tcPr>
            <w:tcW w:w="4990" w:type="dxa"/>
            <w:shd w:val="clear" w:color="auto" w:fill="D6E3BC" w:themeFill="accent3" w:themeFillTint="66"/>
          </w:tcPr>
          <w:p w14:paraId="432B44F6" w14:textId="5214ECC5" w:rsidR="00AB7FEB" w:rsidRPr="00AF240C" w:rsidRDefault="00AB7FEB" w:rsidP="00AB7FEB">
            <w:pPr>
              <w:pStyle w:val="TextFieldStyle"/>
              <w:rPr>
                <w:szCs w:val="24"/>
              </w:rPr>
            </w:pPr>
            <w:r w:rsidRPr="00C36C47">
              <w:rPr>
                <w:szCs w:val="24"/>
              </w:rPr>
              <w:t>Lease for Mining Purpose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6E016941" w14:textId="77777777" w:rsidR="00AB7FEB" w:rsidRPr="00AF240C" w:rsidRDefault="00AB7FEB" w:rsidP="00AB7FEB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D6E3BC" w:themeFill="accent3" w:themeFillTint="66"/>
          </w:tcPr>
          <w:p w14:paraId="472FE54A" w14:textId="14ECEF0A" w:rsidR="00AB7FEB" w:rsidRPr="00AF240C" w:rsidRDefault="00AB7FEB" w:rsidP="00AB7FEB">
            <w:pPr>
              <w:rPr>
                <w:sz w:val="24"/>
                <w:szCs w:val="24"/>
              </w:rPr>
            </w:pPr>
            <w:r w:rsidRPr="00C36C47">
              <w:rPr>
                <w:sz w:val="24"/>
                <w:szCs w:val="24"/>
              </w:rPr>
              <w:t xml:space="preserve">0 years, every </w:t>
            </w:r>
            <w:r w:rsidR="0040549E">
              <w:rPr>
                <w:sz w:val="24"/>
                <w:szCs w:val="24"/>
              </w:rPr>
              <w:t>2</w:t>
            </w:r>
            <w:r w:rsidRPr="00C36C47">
              <w:rPr>
                <w:sz w:val="24"/>
                <w:szCs w:val="24"/>
              </w:rPr>
              <w:t>0 years</w:t>
            </w:r>
          </w:p>
        </w:tc>
      </w:tr>
      <w:tr w:rsidR="00AB7FEB" w:rsidRPr="00AF240C" w14:paraId="2AE2CF2B" w14:textId="77777777" w:rsidTr="00AB7FEB">
        <w:tc>
          <w:tcPr>
            <w:tcW w:w="1702" w:type="dxa"/>
            <w:shd w:val="clear" w:color="auto" w:fill="D6E3BC" w:themeFill="accent3" w:themeFillTint="66"/>
          </w:tcPr>
          <w:p w14:paraId="480BC3C1" w14:textId="3B3042DE" w:rsidR="00AB7FEB" w:rsidRPr="00AF240C" w:rsidRDefault="00AB7FEB" w:rsidP="00AB7FEB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C36C47">
              <w:rPr>
                <w:rFonts w:asciiTheme="minorHAnsi" w:hAnsiTheme="minorHAnsi"/>
                <w:szCs w:val="24"/>
              </w:rPr>
              <w:t>PNG</w:t>
            </w:r>
          </w:p>
        </w:tc>
        <w:tc>
          <w:tcPr>
            <w:tcW w:w="4990" w:type="dxa"/>
            <w:shd w:val="clear" w:color="auto" w:fill="D6E3BC" w:themeFill="accent3" w:themeFillTint="66"/>
          </w:tcPr>
          <w:p w14:paraId="0661922B" w14:textId="45822407" w:rsidR="00AB7FEB" w:rsidRPr="00AF240C" w:rsidRDefault="00AB7FEB" w:rsidP="00AB7FEB">
            <w:pPr>
              <w:pStyle w:val="TextFieldStyle"/>
              <w:rPr>
                <w:szCs w:val="24"/>
              </w:rPr>
            </w:pPr>
            <w:r w:rsidRPr="00C36C47">
              <w:rPr>
                <w:szCs w:val="24"/>
              </w:rPr>
              <w:t>Mining Easement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683120EF" w14:textId="77777777" w:rsidR="00AB7FEB" w:rsidRPr="00AF240C" w:rsidRDefault="00AB7FEB" w:rsidP="00AB7FEB">
            <w:pPr>
              <w:rPr>
                <w:sz w:val="24"/>
                <w:szCs w:val="24"/>
              </w:rPr>
            </w:pPr>
          </w:p>
        </w:tc>
        <w:tc>
          <w:tcPr>
            <w:tcW w:w="2806" w:type="dxa"/>
            <w:shd w:val="clear" w:color="auto" w:fill="D6E3BC" w:themeFill="accent3" w:themeFillTint="66"/>
          </w:tcPr>
          <w:p w14:paraId="3FC95C32" w14:textId="2CACF12B" w:rsidR="00AB7FEB" w:rsidRPr="00AF240C" w:rsidRDefault="00AB7FEB" w:rsidP="00AB7FEB">
            <w:pPr>
              <w:rPr>
                <w:sz w:val="24"/>
                <w:szCs w:val="24"/>
              </w:rPr>
            </w:pPr>
            <w:r w:rsidRPr="00C36C47">
              <w:rPr>
                <w:sz w:val="24"/>
                <w:szCs w:val="24"/>
              </w:rPr>
              <w:t>0 years, every 40 years</w:t>
            </w:r>
          </w:p>
        </w:tc>
      </w:tr>
    </w:tbl>
    <w:p w14:paraId="057E7073" w14:textId="77777777" w:rsidR="00E91B3F" w:rsidRPr="00AF240C" w:rsidRDefault="00291A38" w:rsidP="00934F3F">
      <w:pPr>
        <w:spacing w:after="240"/>
        <w:rPr>
          <w:i/>
          <w:sz w:val="18"/>
          <w:szCs w:val="18"/>
        </w:rPr>
      </w:pPr>
      <w:r w:rsidRPr="00AF240C">
        <w:rPr>
          <w:i/>
          <w:sz w:val="18"/>
          <w:szCs w:val="18"/>
          <w:u w:val="single"/>
        </w:rPr>
        <w:t>Note</w:t>
      </w:r>
      <w:r w:rsidRPr="00AF240C">
        <w:rPr>
          <w:i/>
          <w:sz w:val="18"/>
          <w:szCs w:val="18"/>
        </w:rPr>
        <w:t>: The Applies To list defines which specific Tenement types this action applies to, along with the specific pattern of renewals allowed.</w:t>
      </w:r>
    </w:p>
    <w:tbl>
      <w:tblPr>
        <w:tblStyle w:val="TableGrid"/>
        <w:tblW w:w="112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684"/>
        <w:gridCol w:w="3544"/>
      </w:tblGrid>
      <w:tr w:rsidR="008E2879" w:rsidRPr="00AF240C" w14:paraId="213DBD14" w14:textId="77777777" w:rsidTr="00992050">
        <w:tc>
          <w:tcPr>
            <w:tcW w:w="11228" w:type="dxa"/>
            <w:gridSpan w:val="2"/>
            <w:shd w:val="clear" w:color="auto" w:fill="auto"/>
          </w:tcPr>
          <w:p w14:paraId="5EACAB8A" w14:textId="77777777" w:rsidR="008E2879" w:rsidRPr="00AF240C" w:rsidRDefault="007B0278" w:rsidP="00934F3F">
            <w:pPr>
              <w:jc w:val="center"/>
              <w:rPr>
                <w:b/>
                <w:sz w:val="24"/>
                <w:szCs w:val="24"/>
              </w:rPr>
            </w:pPr>
            <w:r w:rsidRPr="00AF240C">
              <w:rPr>
                <w:b/>
                <w:sz w:val="24"/>
                <w:szCs w:val="24"/>
              </w:rPr>
              <w:t>Task List</w:t>
            </w:r>
          </w:p>
        </w:tc>
      </w:tr>
      <w:tr w:rsidR="00441A77" w:rsidRPr="00AF240C" w14:paraId="3EFF7248" w14:textId="77777777" w:rsidTr="00992050">
        <w:tc>
          <w:tcPr>
            <w:tcW w:w="7684" w:type="dxa"/>
            <w:shd w:val="clear" w:color="auto" w:fill="D9D9D9" w:themeFill="background1" w:themeFillShade="D9"/>
          </w:tcPr>
          <w:p w14:paraId="588B69FA" w14:textId="77777777" w:rsidR="00441A77" w:rsidRPr="00AF240C" w:rsidRDefault="00441A77" w:rsidP="00934F3F">
            <w:pPr>
              <w:rPr>
                <w:sz w:val="24"/>
                <w:szCs w:val="24"/>
              </w:rPr>
            </w:pPr>
            <w:r w:rsidRPr="00AF240C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76D811F" w14:textId="77777777" w:rsidR="00441A77" w:rsidRPr="00AF240C" w:rsidRDefault="0021180A" w:rsidP="00934F3F">
            <w:pPr>
              <w:rPr>
                <w:sz w:val="24"/>
                <w:szCs w:val="24"/>
              </w:rPr>
            </w:pPr>
            <w:r w:rsidRPr="00AF240C">
              <w:rPr>
                <w:b/>
                <w:sz w:val="24"/>
                <w:szCs w:val="24"/>
              </w:rPr>
              <w:t>Days Needed</w:t>
            </w:r>
            <w:r w:rsidR="0029668B" w:rsidRPr="00AF240C">
              <w:rPr>
                <w:b/>
                <w:sz w:val="24"/>
                <w:szCs w:val="24"/>
              </w:rPr>
              <w:t xml:space="preserve"> Before </w:t>
            </w:r>
            <w:r w:rsidRPr="00AF240C">
              <w:rPr>
                <w:b/>
                <w:sz w:val="24"/>
                <w:szCs w:val="24"/>
              </w:rPr>
              <w:t>Deadline</w:t>
            </w:r>
          </w:p>
        </w:tc>
      </w:tr>
      <w:tr w:rsidR="00FD48AC" w:rsidRPr="00AF240C" w14:paraId="56C8B2FB" w14:textId="77777777" w:rsidTr="00992050">
        <w:tc>
          <w:tcPr>
            <w:tcW w:w="7684" w:type="dxa"/>
            <w:shd w:val="clear" w:color="auto" w:fill="D6E3BC" w:themeFill="accent3" w:themeFillTint="66"/>
          </w:tcPr>
          <w:p w14:paraId="718C1BBD" w14:textId="4D0FCAEF" w:rsidR="00FD48AC" w:rsidRPr="00AF240C" w:rsidRDefault="3FB92311" w:rsidP="00FD48AC">
            <w:pPr>
              <w:tabs>
                <w:tab w:val="left" w:pos="1418"/>
                <w:tab w:val="left" w:pos="4111"/>
              </w:tabs>
            </w:pPr>
            <w:r w:rsidRPr="00AF240C">
              <w:t xml:space="preserve">Notify </w:t>
            </w:r>
            <w:r w:rsidR="00992050">
              <w:t>Exploration Manager</w:t>
            </w:r>
            <w:r w:rsidRPr="00AF240C">
              <w:t xml:space="preserve"> of pending expiry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27111E6B" w14:textId="79D52788" w:rsidR="00FD48AC" w:rsidRPr="00AF240C" w:rsidRDefault="00FD48AC" w:rsidP="00FD48AC">
            <w:pPr>
              <w:tabs>
                <w:tab w:val="left" w:pos="1418"/>
                <w:tab w:val="left" w:pos="4111"/>
              </w:tabs>
            </w:pPr>
            <w:r w:rsidRPr="00AF240C">
              <w:t>90d</w:t>
            </w:r>
          </w:p>
        </w:tc>
      </w:tr>
      <w:tr w:rsidR="00D57CEC" w:rsidRPr="00AF240C" w14:paraId="7CC8BAFD" w14:textId="77777777" w:rsidTr="00992050">
        <w:tc>
          <w:tcPr>
            <w:tcW w:w="7684" w:type="dxa"/>
            <w:shd w:val="clear" w:color="auto" w:fill="D6E3BC" w:themeFill="accent3" w:themeFillTint="66"/>
          </w:tcPr>
          <w:p w14:paraId="1978A00A" w14:textId="50D95D7F" w:rsidR="00D57CEC" w:rsidRPr="00AF240C" w:rsidRDefault="00D57CEC" w:rsidP="00D57CE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AF240C">
              <w:t xml:space="preserve">Notify </w:t>
            </w:r>
            <w:r w:rsidR="00992050">
              <w:t>Exploration Manager</w:t>
            </w:r>
            <w:r w:rsidRPr="00AF240C">
              <w:t xml:space="preserve"> of Variation if required</w:t>
            </w:r>
            <w:r w:rsidR="00AB7FEB">
              <w:t xml:space="preserve"> (ELs)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43A06ED5" w14:textId="7C6E217E" w:rsidR="00D57CEC" w:rsidRPr="00AF240C" w:rsidRDefault="003735B1" w:rsidP="00D57CE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t>3</w:t>
            </w:r>
            <w:r w:rsidR="00D57CEC">
              <w:t>0d</w:t>
            </w:r>
          </w:p>
        </w:tc>
      </w:tr>
      <w:tr w:rsidR="00EE4687" w:rsidRPr="00AF240C" w14:paraId="710F7E04" w14:textId="77777777" w:rsidTr="00992050">
        <w:tc>
          <w:tcPr>
            <w:tcW w:w="7684" w:type="dxa"/>
            <w:shd w:val="clear" w:color="auto" w:fill="D6E3BC" w:themeFill="accent3" w:themeFillTint="66"/>
          </w:tcPr>
          <w:p w14:paraId="68CFFCE9" w14:textId="463025B9" w:rsidR="00EE4687" w:rsidRPr="00AF240C" w:rsidRDefault="3FB92311" w:rsidP="3FB92311">
            <w:pPr>
              <w:tabs>
                <w:tab w:val="left" w:pos="1418"/>
                <w:tab w:val="left" w:pos="4111"/>
              </w:tabs>
            </w:pPr>
            <w:r w:rsidRPr="00AF240C">
              <w:rPr>
                <w:sz w:val="24"/>
                <w:szCs w:val="24"/>
              </w:rPr>
              <w:t xml:space="preserve">Follow up </w:t>
            </w:r>
            <w:r w:rsidR="00992050">
              <w:t>Exploration Manager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0E265ECC" w14:textId="074D6614" w:rsidR="00EE4687" w:rsidRPr="00AF240C" w:rsidRDefault="00EE4687" w:rsidP="00EE4687">
            <w:pPr>
              <w:tabs>
                <w:tab w:val="left" w:pos="1418"/>
                <w:tab w:val="left" w:pos="4111"/>
              </w:tabs>
            </w:pPr>
            <w:r w:rsidRPr="00AF240C">
              <w:rPr>
                <w:sz w:val="24"/>
                <w:szCs w:val="24"/>
              </w:rPr>
              <w:t>30d</w:t>
            </w:r>
          </w:p>
        </w:tc>
      </w:tr>
      <w:tr w:rsidR="3FB92311" w:rsidRPr="00AF240C" w14:paraId="76160915" w14:textId="77777777" w:rsidTr="00992050">
        <w:tc>
          <w:tcPr>
            <w:tcW w:w="7684" w:type="dxa"/>
            <w:shd w:val="clear" w:color="auto" w:fill="D6E3BC" w:themeFill="accent3" w:themeFillTint="66"/>
          </w:tcPr>
          <w:p w14:paraId="1C40B1C2" w14:textId="25B022D1" w:rsidR="3FB92311" w:rsidRPr="00AF240C" w:rsidRDefault="3FB92311" w:rsidP="3FB92311">
            <w:pPr>
              <w:rPr>
                <w:sz w:val="24"/>
                <w:szCs w:val="24"/>
              </w:rPr>
            </w:pPr>
            <w:r w:rsidRPr="00AF240C">
              <w:rPr>
                <w:sz w:val="24"/>
                <w:szCs w:val="24"/>
              </w:rPr>
              <w:t>Arrange payment of renewal application fee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232AC7A5" w14:textId="244F7692" w:rsidR="3FB92311" w:rsidRPr="00AF240C" w:rsidRDefault="3FB92311" w:rsidP="3FB92311">
            <w:pPr>
              <w:rPr>
                <w:sz w:val="24"/>
                <w:szCs w:val="24"/>
              </w:rPr>
            </w:pPr>
            <w:r w:rsidRPr="00AF240C">
              <w:rPr>
                <w:sz w:val="24"/>
                <w:szCs w:val="24"/>
              </w:rPr>
              <w:t>30d</w:t>
            </w:r>
          </w:p>
        </w:tc>
      </w:tr>
      <w:tr w:rsidR="3FB92311" w:rsidRPr="00AF240C" w14:paraId="0673FF0C" w14:textId="77777777" w:rsidTr="00992050">
        <w:tc>
          <w:tcPr>
            <w:tcW w:w="7684" w:type="dxa"/>
            <w:shd w:val="clear" w:color="auto" w:fill="D6E3BC" w:themeFill="accent3" w:themeFillTint="66"/>
          </w:tcPr>
          <w:p w14:paraId="7B2873F9" w14:textId="6C801DEF" w:rsidR="3FB92311" w:rsidRPr="00AF240C" w:rsidRDefault="3FB92311" w:rsidP="3FB92311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AF240C">
              <w:rPr>
                <w:rFonts w:ascii="Calibri" w:eastAsia="Calibri" w:hAnsi="Calibri" w:cs="Calibri"/>
              </w:rPr>
              <w:t>Prepare renewal forms (Form 9, 17, 20)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1298E80A" w14:textId="23C22EC6" w:rsidR="3FB92311" w:rsidRPr="00AF240C" w:rsidRDefault="3FB92311" w:rsidP="3FB92311">
            <w:pPr>
              <w:rPr>
                <w:sz w:val="24"/>
                <w:szCs w:val="24"/>
              </w:rPr>
            </w:pPr>
            <w:r w:rsidRPr="00AF240C">
              <w:rPr>
                <w:sz w:val="24"/>
                <w:szCs w:val="24"/>
              </w:rPr>
              <w:t>21d</w:t>
            </w:r>
          </w:p>
        </w:tc>
      </w:tr>
      <w:tr w:rsidR="00FD48AC" w:rsidRPr="00AF240C" w14:paraId="73EF1FD5" w14:textId="77777777" w:rsidTr="00992050">
        <w:tc>
          <w:tcPr>
            <w:tcW w:w="7684" w:type="dxa"/>
            <w:shd w:val="clear" w:color="auto" w:fill="D6E3BC" w:themeFill="accent3" w:themeFillTint="66"/>
          </w:tcPr>
          <w:p w14:paraId="4E8652CD" w14:textId="4ACCACA5" w:rsidR="00FD48AC" w:rsidRPr="00AF240C" w:rsidRDefault="00992050" w:rsidP="00FD48AC">
            <w:pPr>
              <w:tabs>
                <w:tab w:val="left" w:pos="1418"/>
                <w:tab w:val="left" w:pos="4111"/>
              </w:tabs>
            </w:pPr>
            <w:r>
              <w:t>Lodge renewal</w:t>
            </w:r>
          </w:p>
        </w:tc>
        <w:tc>
          <w:tcPr>
            <w:tcW w:w="3544" w:type="dxa"/>
            <w:shd w:val="clear" w:color="auto" w:fill="D6E3BC" w:themeFill="accent3" w:themeFillTint="66"/>
          </w:tcPr>
          <w:p w14:paraId="12236BE6" w14:textId="2F2FBBE0" w:rsidR="00FD48AC" w:rsidRPr="00AF240C" w:rsidRDefault="3FB92311" w:rsidP="3FB92311">
            <w:pPr>
              <w:tabs>
                <w:tab w:val="left" w:pos="1418"/>
                <w:tab w:val="left" w:pos="4111"/>
              </w:tabs>
            </w:pPr>
            <w:r w:rsidRPr="00AF240C">
              <w:t>10d</w:t>
            </w:r>
          </w:p>
        </w:tc>
      </w:tr>
      <w:tr w:rsidR="00FD48AC" w:rsidRPr="00AF240C" w14:paraId="3E08B8A2" w14:textId="77777777" w:rsidTr="00992050">
        <w:tc>
          <w:tcPr>
            <w:tcW w:w="768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7A520F2" w14:textId="4735722D" w:rsidR="00FD48AC" w:rsidRPr="00AF240C" w:rsidRDefault="00EE4687" w:rsidP="00EE4687">
            <w:pPr>
              <w:tabs>
                <w:tab w:val="left" w:pos="1418"/>
                <w:tab w:val="left" w:pos="4111"/>
              </w:tabs>
            </w:pPr>
            <w:r w:rsidRPr="00AF240C">
              <w:t>Confirm lodgement of renewal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4EDB369" w14:textId="46399A2D" w:rsidR="00FD48AC" w:rsidRPr="00AF240C" w:rsidRDefault="00EE4687" w:rsidP="00FD48AC">
            <w:pPr>
              <w:tabs>
                <w:tab w:val="left" w:pos="1418"/>
                <w:tab w:val="left" w:pos="4111"/>
              </w:tabs>
            </w:pPr>
            <w:r w:rsidRPr="00AF240C">
              <w:t>7d</w:t>
            </w:r>
          </w:p>
        </w:tc>
      </w:tr>
      <w:tr w:rsidR="00D57CEC" w:rsidRPr="00AF240C" w14:paraId="18F38CB4" w14:textId="77777777" w:rsidTr="00992050">
        <w:tc>
          <w:tcPr>
            <w:tcW w:w="768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BD8131A" w14:textId="09AAFD0C" w:rsidR="00D57CEC" w:rsidRPr="00AF240C" w:rsidRDefault="00D57CEC" w:rsidP="00D57CEC">
            <w:pPr>
              <w:rPr>
                <w:rFonts w:ascii="Calibri" w:eastAsia="Calibri" w:hAnsi="Calibri" w:cs="Calibri"/>
              </w:rPr>
            </w:pPr>
            <w:r w:rsidRPr="00AF240C">
              <w:t>Lodge Variation if required</w:t>
            </w:r>
            <w:r w:rsidR="00AB7FEB">
              <w:t xml:space="preserve"> (ELs)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B61908E" w14:textId="7D7F165D" w:rsidR="00D57CEC" w:rsidRPr="00AF240C" w:rsidRDefault="00D57CEC" w:rsidP="00D57CEC">
            <w:r>
              <w:t>0d</w:t>
            </w:r>
          </w:p>
        </w:tc>
      </w:tr>
      <w:tr w:rsidR="00D57CEC" w:rsidRPr="00AF240C" w14:paraId="203F32E5" w14:textId="77777777" w:rsidTr="00992050">
        <w:tc>
          <w:tcPr>
            <w:tcW w:w="768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F142348" w14:textId="7733C03E" w:rsidR="00D57CEC" w:rsidRPr="00AF240C" w:rsidRDefault="00992050" w:rsidP="00D57CEC">
            <w:pPr>
              <w:spacing w:after="20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Update tenement’s Expiry Date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9889290" w14:textId="084CF822" w:rsidR="00D57CEC" w:rsidRPr="00AF240C" w:rsidRDefault="00D57CEC" w:rsidP="00D57CEC">
            <w:r w:rsidRPr="00AF240C">
              <w:t>0d</w:t>
            </w:r>
          </w:p>
        </w:tc>
      </w:tr>
      <w:tr w:rsidR="00D57CEC" w:rsidRPr="00AF240C" w14:paraId="6BCCD748" w14:textId="77777777" w:rsidTr="00992050">
        <w:tc>
          <w:tcPr>
            <w:tcW w:w="768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F01F93B" w14:textId="3002095D" w:rsidR="00D57CEC" w:rsidRPr="00AF240C" w:rsidRDefault="00D57CEC" w:rsidP="00D57CEC">
            <w:pPr>
              <w:spacing w:line="276" w:lineRule="auto"/>
              <w:rPr>
                <w:rFonts w:ascii="Calibri" w:eastAsia="Calibri" w:hAnsi="Calibri" w:cs="Calibri"/>
              </w:rPr>
            </w:pPr>
            <w:r w:rsidRPr="00AF240C">
              <w:rPr>
                <w:rFonts w:ascii="Calibri" w:eastAsia="Calibri" w:hAnsi="Calibri" w:cs="Calibri"/>
              </w:rPr>
              <w:t>Respond to Warden’s Hearing Requirements letter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1A3411E" w14:textId="3CA5BDB8" w:rsidR="00D57CEC" w:rsidRPr="00AF240C" w:rsidRDefault="00D57CEC" w:rsidP="00D57CEC">
            <w:r w:rsidRPr="00AF240C">
              <w:t>-10d</w:t>
            </w:r>
          </w:p>
        </w:tc>
      </w:tr>
      <w:tr w:rsidR="00D57CEC" w:rsidRPr="00AF240C" w14:paraId="3C9E145E" w14:textId="77777777" w:rsidTr="00992050">
        <w:tc>
          <w:tcPr>
            <w:tcW w:w="768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59D1858" w14:textId="40CD5141" w:rsidR="00D57CEC" w:rsidRPr="00AF240C" w:rsidRDefault="00D57CEC" w:rsidP="00D57CEC">
            <w:pPr>
              <w:spacing w:line="276" w:lineRule="auto"/>
              <w:rPr>
                <w:rFonts w:ascii="Calibri" w:eastAsia="Calibri" w:hAnsi="Calibri" w:cs="Calibri"/>
              </w:rPr>
            </w:pPr>
            <w:r w:rsidRPr="00AF240C">
              <w:rPr>
                <w:rFonts w:ascii="Calibri" w:eastAsia="Calibri" w:hAnsi="Calibri" w:cs="Calibri"/>
              </w:rPr>
              <w:t xml:space="preserve">Notify </w:t>
            </w:r>
            <w:r w:rsidR="00992050">
              <w:rPr>
                <w:rFonts w:ascii="Calibri" w:eastAsia="Calibri" w:hAnsi="Calibri" w:cs="Calibri"/>
              </w:rPr>
              <w:t>Exploration Manager</w:t>
            </w:r>
            <w:r w:rsidRPr="00AF240C">
              <w:rPr>
                <w:rFonts w:ascii="Calibri" w:eastAsia="Calibri" w:hAnsi="Calibri" w:cs="Calibri"/>
              </w:rPr>
              <w:t xml:space="preserve"> of Warden’s Hearing dates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3CE77E2" w14:textId="2DA2C01C" w:rsidR="00D57CEC" w:rsidRPr="00AF240C" w:rsidRDefault="00D57CEC" w:rsidP="00D57CEC">
            <w:r w:rsidRPr="00AF240C">
              <w:t>-21d</w:t>
            </w:r>
          </w:p>
        </w:tc>
      </w:tr>
    </w:tbl>
    <w:p w14:paraId="791AC6FC" w14:textId="07FDA59C" w:rsidR="00851546" w:rsidRDefault="008C000B" w:rsidP="001716AA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AF240C">
        <w:rPr>
          <w:i/>
          <w:sz w:val="18"/>
          <w:szCs w:val="18"/>
          <w:u w:val="single"/>
        </w:rPr>
        <w:t>Note</w:t>
      </w:r>
      <w:r w:rsidRPr="00AF240C">
        <w:rPr>
          <w:i/>
          <w:sz w:val="18"/>
          <w:szCs w:val="18"/>
        </w:rPr>
        <w:t xml:space="preserve">: </w:t>
      </w:r>
      <w:r w:rsidR="0029668B" w:rsidRPr="00AF240C">
        <w:rPr>
          <w:i/>
          <w:sz w:val="18"/>
          <w:szCs w:val="18"/>
        </w:rPr>
        <w:t>Task List</w:t>
      </w:r>
      <w:r w:rsidRPr="00AF240C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29668B" w:rsidRPr="00AF240C">
        <w:rPr>
          <w:i/>
          <w:sz w:val="18"/>
          <w:szCs w:val="18"/>
        </w:rPr>
        <w:t>Task List</w:t>
      </w:r>
      <w:r w:rsidRPr="00AF240C">
        <w:rPr>
          <w:i/>
          <w:sz w:val="18"/>
          <w:szCs w:val="18"/>
        </w:rPr>
        <w:t xml:space="preserve"> items negate the need for separate follow up Actions.  You may add in as many </w:t>
      </w:r>
      <w:r w:rsidR="0029668B" w:rsidRPr="00AF240C">
        <w:rPr>
          <w:i/>
          <w:sz w:val="18"/>
          <w:szCs w:val="18"/>
        </w:rPr>
        <w:t>Task List</w:t>
      </w:r>
      <w:r w:rsidRPr="00AF240C">
        <w:rPr>
          <w:i/>
          <w:sz w:val="18"/>
          <w:szCs w:val="18"/>
        </w:rPr>
        <w:t xml:space="preserve"> items as you wish. If a </w:t>
      </w:r>
      <w:r w:rsidR="0029668B" w:rsidRPr="00AF240C">
        <w:rPr>
          <w:i/>
          <w:sz w:val="18"/>
          <w:szCs w:val="18"/>
        </w:rPr>
        <w:t>Task List</w:t>
      </w:r>
      <w:r w:rsidRPr="00AF240C">
        <w:rPr>
          <w:i/>
          <w:sz w:val="18"/>
          <w:szCs w:val="18"/>
        </w:rPr>
        <w:t xml:space="preserve"> item has no Days Needed Before Deadline entered then it will default to the previous </w:t>
      </w:r>
      <w:r w:rsidR="0029668B" w:rsidRPr="00AF240C">
        <w:rPr>
          <w:i/>
          <w:sz w:val="18"/>
          <w:szCs w:val="18"/>
        </w:rPr>
        <w:t>Task List</w:t>
      </w:r>
      <w:r w:rsidRPr="00AF240C">
        <w:rPr>
          <w:i/>
          <w:sz w:val="18"/>
          <w:szCs w:val="18"/>
        </w:rPr>
        <w:t xml:space="preserve"> item Days Needed Before Deadline.</w:t>
      </w:r>
    </w:p>
    <w:p w14:paraId="25CF8030" w14:textId="77777777" w:rsidR="005870A7" w:rsidRPr="00AF240C" w:rsidRDefault="005870A7" w:rsidP="001716AA">
      <w:pPr>
        <w:tabs>
          <w:tab w:val="left" w:pos="1418"/>
          <w:tab w:val="left" w:pos="4111"/>
        </w:tabs>
        <w:spacing w:after="80"/>
        <w:rPr>
          <w:b/>
          <w:sz w:val="24"/>
          <w:szCs w:val="24"/>
        </w:rPr>
      </w:pPr>
    </w:p>
    <w:tbl>
      <w:tblPr>
        <w:tblStyle w:val="TableGrid"/>
        <w:tblW w:w="10661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123"/>
      </w:tblGrid>
      <w:tr w:rsidR="00BC57DF" w:rsidRPr="00AF240C" w14:paraId="7BFA0184" w14:textId="77777777" w:rsidTr="00660CEA">
        <w:tc>
          <w:tcPr>
            <w:tcW w:w="10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47F7796C" w14:textId="77777777" w:rsidR="00BC57DF" w:rsidRPr="00AF240C" w:rsidRDefault="00BC57DF" w:rsidP="00660CEA">
            <w:pPr>
              <w:jc w:val="center"/>
              <w:rPr>
                <w:b/>
                <w:sz w:val="24"/>
                <w:szCs w:val="24"/>
              </w:rPr>
            </w:pPr>
            <w:r w:rsidRPr="00AF240C">
              <w:rPr>
                <w:b/>
                <w:sz w:val="24"/>
                <w:szCs w:val="24"/>
              </w:rPr>
              <w:t>Change History</w:t>
            </w:r>
          </w:p>
        </w:tc>
      </w:tr>
      <w:tr w:rsidR="00BC57DF" w:rsidRPr="00AF240C" w14:paraId="316D1456" w14:textId="77777777" w:rsidTr="00660CE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192AA0" w14:textId="77777777" w:rsidR="00BC57DF" w:rsidRPr="00AF240C" w:rsidRDefault="00BC57DF" w:rsidP="00660CEA">
            <w:pPr>
              <w:rPr>
                <w:b/>
                <w:sz w:val="24"/>
                <w:szCs w:val="24"/>
              </w:rPr>
            </w:pPr>
            <w:r w:rsidRPr="00AF240C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8517C2" w14:textId="77777777" w:rsidR="00BC57DF" w:rsidRPr="00AF240C" w:rsidRDefault="00BC57DF" w:rsidP="00660CEA">
            <w:pPr>
              <w:rPr>
                <w:b/>
                <w:sz w:val="24"/>
                <w:szCs w:val="24"/>
              </w:rPr>
            </w:pPr>
            <w:r w:rsidRPr="00AF240C"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ED734C" w14:textId="77777777" w:rsidR="00BC57DF" w:rsidRPr="00AF240C" w:rsidRDefault="00BC57DF" w:rsidP="00660CEA">
            <w:pPr>
              <w:rPr>
                <w:b/>
                <w:sz w:val="24"/>
                <w:szCs w:val="24"/>
              </w:rPr>
            </w:pPr>
            <w:r w:rsidRPr="00AF240C">
              <w:rPr>
                <w:b/>
                <w:sz w:val="24"/>
                <w:szCs w:val="24"/>
              </w:rPr>
              <w:t>Changes</w:t>
            </w:r>
          </w:p>
        </w:tc>
      </w:tr>
      <w:tr w:rsidR="005870A7" w:rsidRPr="00AF240C" w14:paraId="30BBFE05" w14:textId="77777777" w:rsidTr="00660CE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16C" w14:textId="261DC712" w:rsidR="005870A7" w:rsidRDefault="005870A7" w:rsidP="00424E67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5F52" w14:textId="542419F9" w:rsidR="005870A7" w:rsidRDefault="005870A7" w:rsidP="00424E6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CCFF" w14:textId="5571246C" w:rsidR="005870A7" w:rsidRDefault="005870A7" w:rsidP="00424E6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wiki links and custom fields</w:t>
            </w:r>
          </w:p>
        </w:tc>
      </w:tr>
      <w:tr w:rsidR="00424E67" w:rsidRPr="00AF240C" w14:paraId="61B68E0C" w14:textId="77777777" w:rsidTr="00660CE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E091" w14:textId="37532677" w:rsidR="00424E67" w:rsidRPr="00AF240C" w:rsidRDefault="001716AA" w:rsidP="00424E67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21/10/2019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DC2A" w14:textId="1542A89B" w:rsidR="00424E67" w:rsidRPr="00AF240C" w:rsidRDefault="001716AA" w:rsidP="00424E6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07A7" w14:textId="3B3EEB45" w:rsidR="00424E67" w:rsidRPr="00AF240C" w:rsidRDefault="001716AA" w:rsidP="00424E6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</w:tbl>
    <w:p w14:paraId="547893B2" w14:textId="77777777" w:rsidR="00E6680D" w:rsidRPr="00934F3F" w:rsidRDefault="00E6680D" w:rsidP="001716AA">
      <w:pPr>
        <w:spacing w:after="0" w:line="240" w:lineRule="auto"/>
        <w:rPr>
          <w:i/>
          <w:sz w:val="18"/>
          <w:szCs w:val="18"/>
        </w:rPr>
      </w:pPr>
    </w:p>
    <w:sectPr w:rsidR="00E6680D" w:rsidRPr="00934F3F" w:rsidSect="005309F5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48A4B" w14:textId="77777777" w:rsidR="00D55E03" w:rsidRDefault="00D55E03" w:rsidP="00812F48">
      <w:pPr>
        <w:spacing w:after="0" w:line="240" w:lineRule="auto"/>
      </w:pPr>
      <w:r>
        <w:separator/>
      </w:r>
    </w:p>
  </w:endnote>
  <w:endnote w:type="continuationSeparator" w:id="0">
    <w:p w14:paraId="7A7FEE98" w14:textId="77777777" w:rsidR="00D55E03" w:rsidRDefault="00D55E03" w:rsidP="0081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ECCAD" w14:textId="77777777" w:rsidR="00D55E03" w:rsidRDefault="00D55E03" w:rsidP="00812F48">
      <w:pPr>
        <w:spacing w:after="0" w:line="240" w:lineRule="auto"/>
      </w:pPr>
      <w:r>
        <w:separator/>
      </w:r>
    </w:p>
  </w:footnote>
  <w:footnote w:type="continuationSeparator" w:id="0">
    <w:p w14:paraId="47B2B666" w14:textId="77777777" w:rsidR="00D55E03" w:rsidRDefault="00D55E03" w:rsidP="00812F48">
      <w:pPr>
        <w:spacing w:after="0" w:line="240" w:lineRule="auto"/>
      </w:pPr>
      <w:r>
        <w:continuationSeparator/>
      </w:r>
    </w:p>
  </w:footnote>
  <w:footnote w:id="1">
    <w:p w14:paraId="7DFE52F5" w14:textId="3E2F5DBD" w:rsidR="00637683" w:rsidRDefault="00637683" w:rsidP="006376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26AB9" w:rsidRPr="00BC57DF">
        <w:t>Intervals</w:t>
      </w:r>
      <w:r>
        <w:t xml:space="preserve"> defined in the Applies To list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499176">
    <w:abstractNumId w:val="1"/>
  </w:num>
  <w:num w:numId="2" w16cid:durableId="1509908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01469"/>
    <w:rsid w:val="0003051D"/>
    <w:rsid w:val="00035273"/>
    <w:rsid w:val="00036C4C"/>
    <w:rsid w:val="00045FBB"/>
    <w:rsid w:val="00046CEB"/>
    <w:rsid w:val="00052E0C"/>
    <w:rsid w:val="000609D5"/>
    <w:rsid w:val="00065838"/>
    <w:rsid w:val="00077213"/>
    <w:rsid w:val="00092044"/>
    <w:rsid w:val="000C7037"/>
    <w:rsid w:val="000E04C4"/>
    <w:rsid w:val="00115EB4"/>
    <w:rsid w:val="001203D8"/>
    <w:rsid w:val="00125D80"/>
    <w:rsid w:val="00126D4E"/>
    <w:rsid w:val="0015033B"/>
    <w:rsid w:val="00150F98"/>
    <w:rsid w:val="00153B19"/>
    <w:rsid w:val="001716AA"/>
    <w:rsid w:val="00183D4B"/>
    <w:rsid w:val="00184F05"/>
    <w:rsid w:val="001B30D4"/>
    <w:rsid w:val="001D7733"/>
    <w:rsid w:val="001F3012"/>
    <w:rsid w:val="001F686D"/>
    <w:rsid w:val="001F7A75"/>
    <w:rsid w:val="0021180A"/>
    <w:rsid w:val="00212E74"/>
    <w:rsid w:val="00217D71"/>
    <w:rsid w:val="002210CD"/>
    <w:rsid w:val="00222746"/>
    <w:rsid w:val="00231448"/>
    <w:rsid w:val="00233E19"/>
    <w:rsid w:val="00237883"/>
    <w:rsid w:val="002912AC"/>
    <w:rsid w:val="00291A38"/>
    <w:rsid w:val="00296229"/>
    <w:rsid w:val="0029668B"/>
    <w:rsid w:val="00296837"/>
    <w:rsid w:val="002B602D"/>
    <w:rsid w:val="002C60B7"/>
    <w:rsid w:val="002D033D"/>
    <w:rsid w:val="002F0D48"/>
    <w:rsid w:val="00305C74"/>
    <w:rsid w:val="0031442C"/>
    <w:rsid w:val="00334530"/>
    <w:rsid w:val="0033750A"/>
    <w:rsid w:val="0035472F"/>
    <w:rsid w:val="00355FDE"/>
    <w:rsid w:val="003735B1"/>
    <w:rsid w:val="00377741"/>
    <w:rsid w:val="003A4DDB"/>
    <w:rsid w:val="003C5B4C"/>
    <w:rsid w:val="003C5BBF"/>
    <w:rsid w:val="003E0486"/>
    <w:rsid w:val="003F0EAB"/>
    <w:rsid w:val="003F78F0"/>
    <w:rsid w:val="0040549E"/>
    <w:rsid w:val="00424E67"/>
    <w:rsid w:val="0043712D"/>
    <w:rsid w:val="00441A77"/>
    <w:rsid w:val="004512C5"/>
    <w:rsid w:val="00457829"/>
    <w:rsid w:val="00472D15"/>
    <w:rsid w:val="00490F8C"/>
    <w:rsid w:val="004C4744"/>
    <w:rsid w:val="004D593E"/>
    <w:rsid w:val="004D5989"/>
    <w:rsid w:val="00517782"/>
    <w:rsid w:val="005309F5"/>
    <w:rsid w:val="00554F7A"/>
    <w:rsid w:val="00571629"/>
    <w:rsid w:val="005870A7"/>
    <w:rsid w:val="00595154"/>
    <w:rsid w:val="005A3F92"/>
    <w:rsid w:val="005B2322"/>
    <w:rsid w:val="005B6F40"/>
    <w:rsid w:val="005B70E0"/>
    <w:rsid w:val="006275EC"/>
    <w:rsid w:val="00637683"/>
    <w:rsid w:val="00645992"/>
    <w:rsid w:val="006537AD"/>
    <w:rsid w:val="00673CE1"/>
    <w:rsid w:val="00693C45"/>
    <w:rsid w:val="0069504D"/>
    <w:rsid w:val="006A3414"/>
    <w:rsid w:val="006B394D"/>
    <w:rsid w:val="006B7D3A"/>
    <w:rsid w:val="006E369F"/>
    <w:rsid w:val="006E460E"/>
    <w:rsid w:val="00724929"/>
    <w:rsid w:val="0073708F"/>
    <w:rsid w:val="007543B2"/>
    <w:rsid w:val="0075586B"/>
    <w:rsid w:val="00772065"/>
    <w:rsid w:val="007935E7"/>
    <w:rsid w:val="00794605"/>
    <w:rsid w:val="007B0278"/>
    <w:rsid w:val="007D4A71"/>
    <w:rsid w:val="007F575C"/>
    <w:rsid w:val="00806764"/>
    <w:rsid w:val="00812F48"/>
    <w:rsid w:val="008267DF"/>
    <w:rsid w:val="00840367"/>
    <w:rsid w:val="0084575F"/>
    <w:rsid w:val="00847A43"/>
    <w:rsid w:val="00851546"/>
    <w:rsid w:val="008530FC"/>
    <w:rsid w:val="008640B0"/>
    <w:rsid w:val="00865499"/>
    <w:rsid w:val="008C000B"/>
    <w:rsid w:val="008C1180"/>
    <w:rsid w:val="008E2879"/>
    <w:rsid w:val="009176AF"/>
    <w:rsid w:val="0093041B"/>
    <w:rsid w:val="00934F3F"/>
    <w:rsid w:val="00943BD8"/>
    <w:rsid w:val="0095352D"/>
    <w:rsid w:val="00987043"/>
    <w:rsid w:val="00992050"/>
    <w:rsid w:val="00995FE6"/>
    <w:rsid w:val="009A6857"/>
    <w:rsid w:val="009A6CB3"/>
    <w:rsid w:val="009D2DF4"/>
    <w:rsid w:val="009E4265"/>
    <w:rsid w:val="009F12FC"/>
    <w:rsid w:val="00A150CF"/>
    <w:rsid w:val="00A301CB"/>
    <w:rsid w:val="00A33A0B"/>
    <w:rsid w:val="00A35672"/>
    <w:rsid w:val="00A569B6"/>
    <w:rsid w:val="00A63FA3"/>
    <w:rsid w:val="00A7166F"/>
    <w:rsid w:val="00A83FA7"/>
    <w:rsid w:val="00AA436C"/>
    <w:rsid w:val="00AA4658"/>
    <w:rsid w:val="00AA649A"/>
    <w:rsid w:val="00AB09C8"/>
    <w:rsid w:val="00AB7FEB"/>
    <w:rsid w:val="00AD303A"/>
    <w:rsid w:val="00AF1004"/>
    <w:rsid w:val="00AF240C"/>
    <w:rsid w:val="00B026BE"/>
    <w:rsid w:val="00B047FD"/>
    <w:rsid w:val="00B20509"/>
    <w:rsid w:val="00B27CDA"/>
    <w:rsid w:val="00B340AC"/>
    <w:rsid w:val="00B453E0"/>
    <w:rsid w:val="00B46BCE"/>
    <w:rsid w:val="00B97E78"/>
    <w:rsid w:val="00BB2C81"/>
    <w:rsid w:val="00BC57DF"/>
    <w:rsid w:val="00BE6E4A"/>
    <w:rsid w:val="00BF1349"/>
    <w:rsid w:val="00C1794A"/>
    <w:rsid w:val="00C30241"/>
    <w:rsid w:val="00C3472A"/>
    <w:rsid w:val="00C44856"/>
    <w:rsid w:val="00C50334"/>
    <w:rsid w:val="00C52659"/>
    <w:rsid w:val="00C55811"/>
    <w:rsid w:val="00CA745E"/>
    <w:rsid w:val="00CB4CCC"/>
    <w:rsid w:val="00CD3D59"/>
    <w:rsid w:val="00D25651"/>
    <w:rsid w:val="00D270F0"/>
    <w:rsid w:val="00D33874"/>
    <w:rsid w:val="00D4513F"/>
    <w:rsid w:val="00D4555E"/>
    <w:rsid w:val="00D5562C"/>
    <w:rsid w:val="00D55E03"/>
    <w:rsid w:val="00D57CEC"/>
    <w:rsid w:val="00D64B5A"/>
    <w:rsid w:val="00DA3A38"/>
    <w:rsid w:val="00DC13CC"/>
    <w:rsid w:val="00DE6B3D"/>
    <w:rsid w:val="00DF4473"/>
    <w:rsid w:val="00E30691"/>
    <w:rsid w:val="00E36AB6"/>
    <w:rsid w:val="00E449A8"/>
    <w:rsid w:val="00E52D43"/>
    <w:rsid w:val="00E615A6"/>
    <w:rsid w:val="00E63127"/>
    <w:rsid w:val="00E6680D"/>
    <w:rsid w:val="00E71792"/>
    <w:rsid w:val="00E8771C"/>
    <w:rsid w:val="00E91B3F"/>
    <w:rsid w:val="00EE4687"/>
    <w:rsid w:val="00F02450"/>
    <w:rsid w:val="00F11EBC"/>
    <w:rsid w:val="00F26AB9"/>
    <w:rsid w:val="00F76692"/>
    <w:rsid w:val="00F90B4D"/>
    <w:rsid w:val="00F91954"/>
    <w:rsid w:val="00F93374"/>
    <w:rsid w:val="00FA4CA4"/>
    <w:rsid w:val="00FA56E1"/>
    <w:rsid w:val="00FC245A"/>
    <w:rsid w:val="00FD48AC"/>
    <w:rsid w:val="00FD505D"/>
    <w:rsid w:val="00FD588D"/>
    <w:rsid w:val="00FF69A1"/>
    <w:rsid w:val="3FB9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0312E"/>
  <w15:docId w15:val="{02819C0E-7999-4372-B96F-C27465F3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paragraph" w:styleId="Heading1">
    <w:name w:val="heading 1"/>
    <w:basedOn w:val="Normal"/>
    <w:next w:val="Normal"/>
    <w:link w:val="Heading1Char"/>
    <w:uiPriority w:val="9"/>
    <w:qFormat/>
    <w:rsid w:val="00E91B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91B3F"/>
    <w:pPr>
      <w:spacing w:after="0" w:line="240" w:lineRule="auto"/>
    </w:pPr>
    <w:rPr>
      <w:rFonts w:ascii="Corbel" w:hAnsi="Corbel"/>
      <w:sz w:val="24"/>
    </w:rPr>
  </w:style>
  <w:style w:type="paragraph" w:customStyle="1" w:styleId="Heading">
    <w:name w:val="Heading"/>
    <w:basedOn w:val="Heading1"/>
    <w:qFormat/>
    <w:rsid w:val="00E91B3F"/>
    <w:pPr>
      <w:spacing w:before="120"/>
      <w:ind w:left="-142"/>
    </w:pPr>
    <w:rPr>
      <w:rFonts w:ascii="Corbel" w:hAnsi="Corbel"/>
      <w:color w:val="000000" w:themeColor="text1"/>
      <w:sz w:val="32"/>
    </w:rPr>
  </w:style>
  <w:style w:type="character" w:customStyle="1" w:styleId="TextFieldStyleChar">
    <w:name w:val="Text Field Style Char"/>
    <w:basedOn w:val="DefaultParagraphFont"/>
    <w:link w:val="TextFieldStyle"/>
    <w:rsid w:val="00E91B3F"/>
    <w:rPr>
      <w:rFonts w:ascii="Corbel" w:hAnsi="Corbe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1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F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F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2F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20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5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5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5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0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B20509"/>
  </w:style>
  <w:style w:type="character" w:styleId="Emphasis">
    <w:name w:val="Emphasis"/>
    <w:basedOn w:val="DefaultParagraphFont"/>
    <w:uiPriority w:val="20"/>
    <w:qFormat/>
    <w:rsid w:val="00B2050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FC24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6E9E6-B246-424A-9077-E06618FC1F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5B618-5727-45BA-8399-563EA0FE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880D35-09DE-4BAD-A787-23F5F834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Burnett</dc:creator>
  <cp:lastModifiedBy>Annamarie Desfosses</cp:lastModifiedBy>
  <cp:revision>3</cp:revision>
  <cp:lastPrinted>2014-03-26T07:25:00Z</cp:lastPrinted>
  <dcterms:created xsi:type="dcterms:W3CDTF">2024-10-10T05:27:00Z</dcterms:created>
  <dcterms:modified xsi:type="dcterms:W3CDTF">2024-10-10T05:28:00Z</dcterms:modified>
</cp:coreProperties>
</file>